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B45" w:rsidRPr="00EB6B45" w:rsidRDefault="00EB6B45" w:rsidP="00EB6B45">
      <w:pPr>
        <w:spacing w:after="200" w:line="276" w:lineRule="auto"/>
        <w:rPr>
          <w:rFonts w:ascii="Verdana" w:hAnsi="Verdana" w:cs="Calibri"/>
          <w:bCs/>
          <w:sz w:val="18"/>
          <w:szCs w:val="18"/>
        </w:rPr>
      </w:pPr>
      <w:r w:rsidRPr="00EB6B45">
        <w:rPr>
          <w:rFonts w:ascii="Verdana" w:hAnsi="Verdana" w:cs="Calibri"/>
          <w:bCs/>
          <w:sz w:val="18"/>
          <w:szCs w:val="18"/>
        </w:rPr>
        <w:t xml:space="preserve">Příloha č. 14 Zadávací dokumentace </w:t>
      </w:r>
    </w:p>
    <w:p w:rsidR="00EB6B45" w:rsidRPr="00EB6B45" w:rsidRDefault="00EB6B45" w:rsidP="00EB6B45">
      <w:pPr>
        <w:spacing w:after="200" w:line="276" w:lineRule="auto"/>
        <w:rPr>
          <w:rFonts w:ascii="Verdana" w:hAnsi="Verdana" w:cs="Calibri"/>
          <w:b/>
          <w:bCs/>
          <w:color w:val="FF5200" w:themeColor="accent2"/>
          <w:sz w:val="36"/>
          <w:szCs w:val="36"/>
        </w:rPr>
      </w:pPr>
      <w:bookmarkStart w:id="0" w:name="_GoBack"/>
      <w:r w:rsidRPr="00EB6B45">
        <w:rPr>
          <w:rFonts w:ascii="Verdana" w:hAnsi="Verdana" w:cs="Calibri"/>
          <w:b/>
          <w:bCs/>
          <w:color w:val="FF5200" w:themeColor="accent2"/>
          <w:sz w:val="36"/>
          <w:szCs w:val="36"/>
        </w:rPr>
        <w:t>Zápisy z předběžné tržní konzultace</w:t>
      </w:r>
    </w:p>
    <w:bookmarkEnd w:id="0"/>
    <w:p w:rsidR="00EB6B45" w:rsidRPr="00384201" w:rsidRDefault="00EB6B45" w:rsidP="00EB6B45">
      <w:pPr>
        <w:pStyle w:val="StyleNadpis1CenteredLeft0cmFirstline0cm"/>
        <w:tabs>
          <w:tab w:val="clear" w:pos="360"/>
        </w:tabs>
        <w:spacing w:line="276" w:lineRule="auto"/>
        <w:jc w:val="both"/>
        <w:rPr>
          <w:rFonts w:ascii="Verdana" w:hAnsi="Verdana"/>
          <w:sz w:val="18"/>
          <w:szCs w:val="18"/>
        </w:rPr>
      </w:pPr>
      <w:r w:rsidRPr="00384201">
        <w:rPr>
          <w:rFonts w:ascii="Verdana" w:hAnsi="Verdana"/>
          <w:caps w:val="0"/>
          <w:sz w:val="18"/>
          <w:szCs w:val="18"/>
        </w:rPr>
        <w:t>Identifikace zadavatele: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2"/>
        <w:gridCol w:w="5968"/>
      </w:tblGrid>
      <w:tr w:rsidR="00EB6B45" w:rsidRPr="00384201" w:rsidTr="00C326AA">
        <w:trPr>
          <w:trHeight w:val="397"/>
        </w:trPr>
        <w:tc>
          <w:tcPr>
            <w:tcW w:w="1485" w:type="pct"/>
            <w:shd w:val="clear" w:color="auto" w:fill="BFBFBF"/>
            <w:vAlign w:val="center"/>
          </w:tcPr>
          <w:p w:rsidR="00EB6B45" w:rsidRPr="00384201" w:rsidRDefault="00EB6B45" w:rsidP="00C326AA">
            <w:pPr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384201">
              <w:rPr>
                <w:rFonts w:ascii="Verdana" w:hAnsi="Verdana"/>
                <w:bCs/>
                <w:sz w:val="18"/>
                <w:szCs w:val="18"/>
              </w:rPr>
              <w:t>Název:</w:t>
            </w:r>
          </w:p>
        </w:tc>
        <w:tc>
          <w:tcPr>
            <w:tcW w:w="3515" w:type="pct"/>
            <w:vAlign w:val="center"/>
          </w:tcPr>
          <w:p w:rsidR="00EB6B45" w:rsidRPr="00384201" w:rsidRDefault="00EB6B45" w:rsidP="00C326AA">
            <w:pPr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384201">
              <w:rPr>
                <w:rFonts w:ascii="Verdana" w:hAnsi="Verdana"/>
                <w:sz w:val="18"/>
                <w:szCs w:val="18"/>
              </w:rPr>
              <w:t>Správa železnic, státní organizace</w:t>
            </w:r>
          </w:p>
        </w:tc>
      </w:tr>
      <w:tr w:rsidR="00EB6B45" w:rsidRPr="00384201" w:rsidTr="00C326AA">
        <w:trPr>
          <w:trHeight w:val="441"/>
        </w:trPr>
        <w:tc>
          <w:tcPr>
            <w:tcW w:w="1485" w:type="pct"/>
            <w:shd w:val="clear" w:color="auto" w:fill="BFBFBF"/>
            <w:vAlign w:val="center"/>
          </w:tcPr>
          <w:p w:rsidR="00EB6B45" w:rsidRPr="00384201" w:rsidRDefault="00EB6B45" w:rsidP="00C326AA">
            <w:pPr>
              <w:spacing w:line="276" w:lineRule="auto"/>
              <w:contextualSpacing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384201">
              <w:rPr>
                <w:rFonts w:ascii="Verdana" w:hAnsi="Verdana"/>
                <w:bCs/>
                <w:sz w:val="18"/>
                <w:szCs w:val="18"/>
              </w:rPr>
              <w:t>IČO:</w:t>
            </w:r>
          </w:p>
        </w:tc>
        <w:tc>
          <w:tcPr>
            <w:tcW w:w="3515" w:type="pct"/>
            <w:vAlign w:val="center"/>
          </w:tcPr>
          <w:p w:rsidR="00EB6B45" w:rsidRPr="00384201" w:rsidRDefault="00EB6B45" w:rsidP="00C326AA">
            <w:pPr>
              <w:spacing w:before="60"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84201">
              <w:rPr>
                <w:rFonts w:ascii="Verdana" w:hAnsi="Verdana"/>
                <w:sz w:val="18"/>
                <w:szCs w:val="18"/>
              </w:rPr>
              <w:t>709 94 234</w:t>
            </w:r>
          </w:p>
        </w:tc>
      </w:tr>
      <w:tr w:rsidR="00EB6B45" w:rsidRPr="00384201" w:rsidTr="00C326AA">
        <w:trPr>
          <w:trHeight w:val="441"/>
        </w:trPr>
        <w:tc>
          <w:tcPr>
            <w:tcW w:w="1485" w:type="pct"/>
            <w:shd w:val="clear" w:color="auto" w:fill="BFBFBF"/>
            <w:vAlign w:val="center"/>
          </w:tcPr>
          <w:p w:rsidR="00EB6B45" w:rsidRPr="00384201" w:rsidRDefault="00EB6B45" w:rsidP="00C326AA">
            <w:pPr>
              <w:spacing w:line="276" w:lineRule="auto"/>
              <w:contextualSpacing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384201">
              <w:rPr>
                <w:rFonts w:ascii="Verdana" w:hAnsi="Verdana"/>
                <w:bCs/>
                <w:sz w:val="18"/>
                <w:szCs w:val="18"/>
              </w:rPr>
              <w:t>Sídlo:</w:t>
            </w:r>
          </w:p>
        </w:tc>
        <w:tc>
          <w:tcPr>
            <w:tcW w:w="3515" w:type="pct"/>
            <w:vAlign w:val="center"/>
          </w:tcPr>
          <w:p w:rsidR="00EB6B45" w:rsidRPr="00384201" w:rsidRDefault="00EB6B45" w:rsidP="00C326AA">
            <w:pPr>
              <w:spacing w:before="60"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84201">
              <w:rPr>
                <w:rFonts w:ascii="Verdana" w:hAnsi="Verdana"/>
                <w:sz w:val="18"/>
                <w:szCs w:val="18"/>
              </w:rPr>
              <w:t>Praha 1, Nové Město, Dlážděná 1003/7, PSČ 110 00</w:t>
            </w:r>
          </w:p>
        </w:tc>
      </w:tr>
    </w:tbl>
    <w:p w:rsidR="00EB6B45" w:rsidRPr="00384201" w:rsidRDefault="00EB6B45" w:rsidP="00EB6B45">
      <w:pPr>
        <w:pStyle w:val="StyleNadpis1CenteredLeft0cmFirstline0cm"/>
        <w:tabs>
          <w:tab w:val="clear" w:pos="360"/>
        </w:tabs>
        <w:spacing w:line="276" w:lineRule="auto"/>
        <w:jc w:val="both"/>
        <w:rPr>
          <w:rFonts w:ascii="Verdana" w:hAnsi="Verdana"/>
          <w:caps w:val="0"/>
          <w:sz w:val="18"/>
          <w:szCs w:val="18"/>
        </w:rPr>
      </w:pPr>
    </w:p>
    <w:p w:rsidR="00EB6B45" w:rsidRPr="00384201" w:rsidRDefault="00EB6B45" w:rsidP="00EB6B45">
      <w:pPr>
        <w:pStyle w:val="StyleNadpis1CenteredLeft0cmFirstline0cm"/>
        <w:tabs>
          <w:tab w:val="clear" w:pos="360"/>
        </w:tabs>
        <w:spacing w:line="276" w:lineRule="auto"/>
        <w:jc w:val="both"/>
        <w:rPr>
          <w:rFonts w:ascii="Verdana" w:hAnsi="Verdana"/>
          <w:caps w:val="0"/>
          <w:sz w:val="18"/>
          <w:szCs w:val="18"/>
        </w:rPr>
      </w:pPr>
      <w:r w:rsidRPr="00384201">
        <w:rPr>
          <w:rFonts w:ascii="Verdana" w:hAnsi="Verdana"/>
          <w:caps w:val="0"/>
          <w:sz w:val="18"/>
          <w:szCs w:val="18"/>
        </w:rPr>
        <w:t xml:space="preserve">Identifikace </w:t>
      </w:r>
      <w:r w:rsidRPr="00384201">
        <w:rPr>
          <w:rFonts w:ascii="Verdana" w:hAnsi="Verdana"/>
          <w:caps w:val="0"/>
          <w:sz w:val="18"/>
          <w:szCs w:val="18"/>
          <w:lang w:eastAsia="cs-CZ"/>
        </w:rPr>
        <w:t>Konzultace</w:t>
      </w:r>
      <w:r w:rsidRPr="00384201">
        <w:rPr>
          <w:rFonts w:ascii="Verdana" w:hAnsi="Verdana"/>
          <w:caps w:val="0"/>
          <w:sz w:val="18"/>
          <w:szCs w:val="18"/>
        </w:rPr>
        <w:t>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7"/>
        <w:gridCol w:w="6103"/>
      </w:tblGrid>
      <w:tr w:rsidR="00EB6B45" w:rsidRPr="00384201" w:rsidTr="00C326AA">
        <w:trPr>
          <w:trHeight w:val="441"/>
        </w:trPr>
        <w:tc>
          <w:tcPr>
            <w:tcW w:w="1406" w:type="pct"/>
            <w:shd w:val="clear" w:color="auto" w:fill="BFBFBF"/>
            <w:vAlign w:val="center"/>
          </w:tcPr>
          <w:p w:rsidR="00EB6B45" w:rsidRPr="00384201" w:rsidRDefault="00EB6B45" w:rsidP="00C326AA">
            <w:pPr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384201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3594" w:type="pct"/>
            <w:vAlign w:val="center"/>
          </w:tcPr>
          <w:p w:rsidR="00EB6B45" w:rsidRPr="00384201" w:rsidRDefault="00EB6B45" w:rsidP="00C326AA">
            <w:pPr>
              <w:spacing w:before="60"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384201">
              <w:rPr>
                <w:rFonts w:ascii="Verdana" w:hAnsi="Verdana"/>
                <w:sz w:val="18"/>
                <w:szCs w:val="18"/>
              </w:rPr>
              <w:t>Předběžná tržní konzultace k veřejné zakázce „</w:t>
            </w:r>
            <w:r w:rsidRPr="00384201">
              <w:rPr>
                <w:rFonts w:ascii="Verdana" w:hAnsi="Verdana"/>
                <w:b/>
                <w:sz w:val="18"/>
                <w:szCs w:val="18"/>
              </w:rPr>
              <w:t>Manažerský nástroj řízení provozuschopnosti železniční infastruktury</w:t>
            </w:r>
            <w:r w:rsidRPr="00384201">
              <w:rPr>
                <w:rFonts w:ascii="Verdana" w:hAnsi="Verdana"/>
                <w:sz w:val="18"/>
                <w:szCs w:val="18"/>
              </w:rPr>
              <w:t>“</w:t>
            </w:r>
          </w:p>
        </w:tc>
      </w:tr>
      <w:tr w:rsidR="00EB6B45" w:rsidRPr="00384201" w:rsidTr="00C326AA">
        <w:trPr>
          <w:trHeight w:val="441"/>
        </w:trPr>
        <w:tc>
          <w:tcPr>
            <w:tcW w:w="1406" w:type="pct"/>
            <w:shd w:val="clear" w:color="auto" w:fill="BFBFBF"/>
            <w:vAlign w:val="center"/>
          </w:tcPr>
          <w:p w:rsidR="00EB6B45" w:rsidRPr="00384201" w:rsidRDefault="00EB6B45" w:rsidP="00C326AA">
            <w:pPr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384201">
              <w:rPr>
                <w:rFonts w:ascii="Verdana" w:hAnsi="Verdana"/>
                <w:bCs/>
                <w:sz w:val="18"/>
                <w:szCs w:val="18"/>
              </w:rPr>
              <w:t>Datum konání:</w:t>
            </w:r>
          </w:p>
        </w:tc>
        <w:tc>
          <w:tcPr>
            <w:tcW w:w="3594" w:type="pct"/>
            <w:vAlign w:val="center"/>
          </w:tcPr>
          <w:p w:rsidR="00EB6B45" w:rsidRPr="00384201" w:rsidRDefault="00EB6B45" w:rsidP="00C326AA">
            <w:pPr>
              <w:spacing w:before="60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384201">
              <w:rPr>
                <w:rFonts w:ascii="Verdana" w:hAnsi="Verdana"/>
                <w:sz w:val="18"/>
                <w:szCs w:val="18"/>
              </w:rPr>
              <w:t>21. a 23. 10. 2019</w:t>
            </w:r>
          </w:p>
        </w:tc>
      </w:tr>
    </w:tbl>
    <w:p w:rsidR="00EB6B45" w:rsidRPr="00384201" w:rsidRDefault="00EB6B45" w:rsidP="00EB6B45">
      <w:p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 xml:space="preserve">První fáze Konzultace k Veřejné zakázce se konala dne </w:t>
      </w:r>
      <w:r w:rsidRPr="00384201">
        <w:rPr>
          <w:rFonts w:ascii="Verdana" w:hAnsi="Verdana"/>
          <w:sz w:val="18"/>
          <w:szCs w:val="18"/>
        </w:rPr>
        <w:t xml:space="preserve">21. 10. 2019 od 9:00 hodin </w:t>
      </w:r>
      <w:r w:rsidRPr="00384201">
        <w:rPr>
          <w:rFonts w:ascii="Verdana" w:hAnsi="Verdana"/>
          <w:sz w:val="18"/>
          <w:szCs w:val="18"/>
          <w:lang w:eastAsia="en-US"/>
        </w:rPr>
        <w:t xml:space="preserve">v sídle zadavatele na adrese </w:t>
      </w:r>
      <w:r w:rsidRPr="00384201">
        <w:rPr>
          <w:rFonts w:ascii="Verdana" w:hAnsi="Verdana"/>
          <w:sz w:val="18"/>
          <w:szCs w:val="18"/>
        </w:rPr>
        <w:t xml:space="preserve">Praha 1, Nové Město, Dlážděná 1003/7, PSČ 110 00 a dne 23. 10. 2019 </w:t>
      </w:r>
      <w:r w:rsidRPr="00384201">
        <w:rPr>
          <w:rFonts w:ascii="Verdana" w:hAnsi="Verdana"/>
          <w:sz w:val="18"/>
          <w:szCs w:val="18"/>
          <w:lang w:eastAsia="en-US"/>
        </w:rPr>
        <w:t>od 9:00 hodin na adrese Křižíkova 552/2, 186 00 Praha 8. Druhá fáze Konzultace proběhla formou referenčních návštěv.</w:t>
      </w: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Za Zadavatele se Konzultace účastnili zejména: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Ing. Jiří Pavel, Ph.D., SŽ, odbor strategie;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 xml:space="preserve">Alena </w:t>
      </w:r>
      <w:proofErr w:type="spellStart"/>
      <w:r w:rsidRPr="00384201">
        <w:rPr>
          <w:rFonts w:ascii="Verdana" w:hAnsi="Verdana"/>
          <w:sz w:val="18"/>
          <w:szCs w:val="18"/>
          <w:lang w:eastAsia="en-US"/>
        </w:rPr>
        <w:t>Larionova</w:t>
      </w:r>
      <w:proofErr w:type="spellEnd"/>
      <w:r w:rsidRPr="00384201">
        <w:rPr>
          <w:rFonts w:ascii="Verdana" w:hAnsi="Verdana"/>
          <w:sz w:val="18"/>
          <w:szCs w:val="18"/>
          <w:lang w:eastAsia="en-US"/>
        </w:rPr>
        <w:t xml:space="preserve">, </w:t>
      </w:r>
      <w:proofErr w:type="spellStart"/>
      <w:r w:rsidRPr="00384201">
        <w:rPr>
          <w:rFonts w:ascii="Verdana" w:hAnsi="Verdana"/>
          <w:sz w:val="18"/>
          <w:szCs w:val="18"/>
          <w:lang w:eastAsia="en-US"/>
        </w:rPr>
        <w:t>PwC</w:t>
      </w:r>
      <w:proofErr w:type="spellEnd"/>
      <w:r w:rsidRPr="00384201">
        <w:rPr>
          <w:rFonts w:ascii="Verdana" w:hAnsi="Verdana"/>
          <w:sz w:val="18"/>
          <w:szCs w:val="18"/>
          <w:lang w:eastAsia="en-US"/>
        </w:rPr>
        <w:t xml:space="preserve"> Česká republika;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 xml:space="preserve">Miroslav Pavlas, </w:t>
      </w:r>
      <w:proofErr w:type="spellStart"/>
      <w:r w:rsidRPr="00384201">
        <w:rPr>
          <w:rFonts w:ascii="Verdana" w:hAnsi="Verdana"/>
          <w:sz w:val="18"/>
          <w:szCs w:val="18"/>
          <w:lang w:eastAsia="en-US"/>
        </w:rPr>
        <w:t>PwC</w:t>
      </w:r>
      <w:proofErr w:type="spellEnd"/>
      <w:r w:rsidRPr="00384201">
        <w:rPr>
          <w:rFonts w:ascii="Verdana" w:hAnsi="Verdana"/>
          <w:sz w:val="18"/>
          <w:szCs w:val="18"/>
          <w:lang w:eastAsia="en-US"/>
        </w:rPr>
        <w:t xml:space="preserve"> Česká republika;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David Smetánka, VIAGNOSTICS s.r.o.;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Ing. Bohuslav Stečínský, MSc., SŽ, odbor provozuschopnosti;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Ing. Petr Procházka, SŽ, centrum telematiky a diagnostiky;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Ing. Petr Sychrovský, SŽ, centrum telematiky a diagnostiky;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Ing. Libor Šíp, SŽ, odbor provozuschopnosti;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Ing. Lumír Holas, SŽ, centrum telematiky a diagnostiky;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Tomáš Hanák, odbor informatiky;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Ing. Stanislav Švarc, odbor informatiky;</w:t>
      </w:r>
    </w:p>
    <w:p w:rsidR="00EB6B45" w:rsidRPr="00384201" w:rsidRDefault="00EB6B45" w:rsidP="00EB6B45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Jan Pospíchal, SŽ.</w:t>
      </w: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sz w:val="18"/>
          <w:szCs w:val="18"/>
          <w:lang w:eastAsia="en-US"/>
        </w:rPr>
      </w:pPr>
    </w:p>
    <w:p w:rsidR="00EB6B45" w:rsidRPr="00384201" w:rsidRDefault="00EB6B45" w:rsidP="00EB6B45">
      <w:pPr>
        <w:spacing w:line="276" w:lineRule="auto"/>
        <w:rPr>
          <w:rFonts w:ascii="Verdana" w:hAnsi="Verdana"/>
          <w:sz w:val="18"/>
          <w:szCs w:val="18"/>
          <w:lang w:eastAsia="en-US"/>
        </w:rPr>
      </w:pPr>
      <w:r w:rsidRPr="00384201">
        <w:rPr>
          <w:rFonts w:ascii="Verdana" w:hAnsi="Verdana"/>
          <w:sz w:val="18"/>
          <w:szCs w:val="18"/>
          <w:lang w:eastAsia="en-US"/>
        </w:rPr>
        <w:t>Konzultace se zúčastnili celkem 4 předem registrovaní účastníci:</w:t>
      </w:r>
    </w:p>
    <w:p w:rsidR="00EB6B45" w:rsidRPr="00384201" w:rsidRDefault="00EB6B45" w:rsidP="00EB6B45">
      <w:pPr>
        <w:pStyle w:val="Odstavecseseznamem"/>
        <w:numPr>
          <w:ilvl w:val="0"/>
          <w:numId w:val="35"/>
        </w:numPr>
        <w:spacing w:line="276" w:lineRule="auto"/>
        <w:rPr>
          <w:rFonts w:ascii="Verdana" w:hAnsi="Verdana"/>
          <w:sz w:val="18"/>
          <w:szCs w:val="18"/>
        </w:rPr>
      </w:pPr>
      <w:r w:rsidRPr="00384201">
        <w:rPr>
          <w:rFonts w:ascii="Verdana" w:hAnsi="Verdana"/>
          <w:sz w:val="18"/>
          <w:szCs w:val="18"/>
        </w:rPr>
        <w:t>SAP ČR, spol. s r.o., sídlem Vyskočilova 1481/4, Praha 4 – Michle, PSČ 140 00, IČO: 497 13 361</w:t>
      </w:r>
      <w:r w:rsidRPr="00384201">
        <w:rPr>
          <w:rFonts w:ascii="Verdana" w:hAnsi="Verdana"/>
          <w:sz w:val="18"/>
          <w:szCs w:val="18"/>
          <w:lang w:eastAsia="en-US"/>
        </w:rPr>
        <w:t>;</w:t>
      </w:r>
    </w:p>
    <w:p w:rsidR="00EB6B45" w:rsidRPr="00384201" w:rsidRDefault="00EB6B45" w:rsidP="00EB6B45">
      <w:pPr>
        <w:pStyle w:val="Odstavecseseznamem"/>
        <w:numPr>
          <w:ilvl w:val="0"/>
          <w:numId w:val="35"/>
        </w:numPr>
        <w:spacing w:line="276" w:lineRule="auto"/>
        <w:rPr>
          <w:rFonts w:ascii="Verdana" w:hAnsi="Verdana"/>
          <w:sz w:val="18"/>
          <w:szCs w:val="18"/>
        </w:rPr>
      </w:pPr>
      <w:r w:rsidRPr="00384201">
        <w:rPr>
          <w:rFonts w:ascii="Verdana" w:hAnsi="Verdana"/>
          <w:sz w:val="18"/>
          <w:szCs w:val="18"/>
        </w:rPr>
        <w:t xml:space="preserve">3B </w:t>
      </w:r>
      <w:proofErr w:type="spellStart"/>
      <w:r w:rsidRPr="00384201">
        <w:rPr>
          <w:rFonts w:ascii="Verdana" w:hAnsi="Verdana"/>
          <w:sz w:val="18"/>
          <w:szCs w:val="18"/>
        </w:rPr>
        <w:t>infra</w:t>
      </w:r>
      <w:proofErr w:type="spellEnd"/>
      <w:r w:rsidRPr="00384201">
        <w:rPr>
          <w:rFonts w:ascii="Verdana" w:hAnsi="Verdana"/>
          <w:sz w:val="18"/>
          <w:szCs w:val="18"/>
        </w:rPr>
        <w:t xml:space="preserve"> infrastruktur management </w:t>
      </w:r>
      <w:proofErr w:type="spellStart"/>
      <w:r w:rsidRPr="00384201">
        <w:rPr>
          <w:rFonts w:ascii="Verdana" w:hAnsi="Verdana"/>
          <w:sz w:val="18"/>
          <w:szCs w:val="18"/>
        </w:rPr>
        <w:t>systeme</w:t>
      </w:r>
      <w:proofErr w:type="spellEnd"/>
      <w:r w:rsidRPr="00384201">
        <w:rPr>
          <w:rFonts w:ascii="Verdana" w:hAnsi="Verdana"/>
          <w:sz w:val="18"/>
          <w:szCs w:val="18"/>
        </w:rPr>
        <w:t xml:space="preserve"> </w:t>
      </w:r>
      <w:proofErr w:type="spellStart"/>
      <w:r w:rsidRPr="00384201">
        <w:rPr>
          <w:rFonts w:ascii="Verdana" w:hAnsi="Verdana"/>
          <w:sz w:val="18"/>
          <w:szCs w:val="18"/>
        </w:rPr>
        <w:t>GmbH</w:t>
      </w:r>
      <w:proofErr w:type="spellEnd"/>
      <w:r w:rsidRPr="00384201">
        <w:rPr>
          <w:rFonts w:ascii="Verdana" w:hAnsi="Verdana"/>
          <w:sz w:val="18"/>
          <w:szCs w:val="18"/>
        </w:rPr>
        <w:t xml:space="preserve">, sídlem </w:t>
      </w:r>
      <w:proofErr w:type="spellStart"/>
      <w:r w:rsidRPr="00384201">
        <w:rPr>
          <w:rFonts w:ascii="Verdana" w:hAnsi="Verdana"/>
          <w:sz w:val="18"/>
          <w:szCs w:val="18"/>
        </w:rPr>
        <w:t>Operngasse</w:t>
      </w:r>
      <w:proofErr w:type="spellEnd"/>
      <w:r w:rsidRPr="00384201">
        <w:rPr>
          <w:rFonts w:ascii="Verdana" w:hAnsi="Verdana"/>
          <w:sz w:val="18"/>
          <w:szCs w:val="18"/>
        </w:rPr>
        <w:t xml:space="preserve"> 20b, A-1040 </w:t>
      </w:r>
      <w:proofErr w:type="spellStart"/>
      <w:r w:rsidRPr="00384201">
        <w:rPr>
          <w:rFonts w:ascii="Verdana" w:hAnsi="Verdana"/>
          <w:sz w:val="18"/>
          <w:szCs w:val="18"/>
        </w:rPr>
        <w:t>Vienna</w:t>
      </w:r>
      <w:proofErr w:type="spellEnd"/>
      <w:r w:rsidRPr="00384201">
        <w:rPr>
          <w:rFonts w:ascii="Verdana" w:hAnsi="Verdana"/>
          <w:sz w:val="18"/>
          <w:szCs w:val="18"/>
        </w:rPr>
        <w:t>, IČO: FN 296379B;</w:t>
      </w:r>
    </w:p>
    <w:p w:rsidR="00EB6B45" w:rsidRPr="00384201" w:rsidRDefault="00EB6B45" w:rsidP="00EB6B45">
      <w:pPr>
        <w:pStyle w:val="Odstavecseseznamem"/>
        <w:numPr>
          <w:ilvl w:val="0"/>
          <w:numId w:val="35"/>
        </w:numPr>
        <w:spacing w:line="276" w:lineRule="auto"/>
        <w:rPr>
          <w:rFonts w:ascii="Verdana" w:hAnsi="Verdana"/>
          <w:sz w:val="18"/>
          <w:szCs w:val="18"/>
        </w:rPr>
      </w:pPr>
      <w:proofErr w:type="spellStart"/>
      <w:r w:rsidRPr="00384201">
        <w:rPr>
          <w:rFonts w:ascii="Verdana" w:hAnsi="Verdana"/>
          <w:sz w:val="18"/>
          <w:szCs w:val="18"/>
        </w:rPr>
        <w:t>Hitachi</w:t>
      </w:r>
      <w:proofErr w:type="spellEnd"/>
      <w:r w:rsidRPr="00384201">
        <w:rPr>
          <w:rFonts w:ascii="Verdana" w:hAnsi="Verdana"/>
          <w:sz w:val="18"/>
          <w:szCs w:val="18"/>
        </w:rPr>
        <w:t xml:space="preserve"> </w:t>
      </w:r>
      <w:proofErr w:type="spellStart"/>
      <w:r w:rsidRPr="00384201">
        <w:rPr>
          <w:rFonts w:ascii="Verdana" w:hAnsi="Verdana"/>
          <w:sz w:val="18"/>
          <w:szCs w:val="18"/>
        </w:rPr>
        <w:t>Vantara</w:t>
      </w:r>
      <w:proofErr w:type="spellEnd"/>
      <w:r w:rsidRPr="00384201">
        <w:rPr>
          <w:rFonts w:ascii="Verdana" w:hAnsi="Verdana"/>
          <w:sz w:val="18"/>
          <w:szCs w:val="18"/>
        </w:rPr>
        <w:t xml:space="preserve"> </w:t>
      </w:r>
      <w:proofErr w:type="spellStart"/>
      <w:r w:rsidRPr="00384201">
        <w:rPr>
          <w:rFonts w:ascii="Verdana" w:hAnsi="Verdana"/>
          <w:sz w:val="18"/>
          <w:szCs w:val="18"/>
        </w:rPr>
        <w:t>Austria</w:t>
      </w:r>
      <w:proofErr w:type="spellEnd"/>
      <w:r w:rsidRPr="00384201">
        <w:rPr>
          <w:rFonts w:ascii="Verdana" w:hAnsi="Verdana"/>
          <w:sz w:val="18"/>
          <w:szCs w:val="18"/>
        </w:rPr>
        <w:t xml:space="preserve"> </w:t>
      </w:r>
      <w:proofErr w:type="spellStart"/>
      <w:r w:rsidRPr="00384201">
        <w:rPr>
          <w:rFonts w:ascii="Verdana" w:hAnsi="Verdana"/>
          <w:sz w:val="18"/>
          <w:szCs w:val="18"/>
        </w:rPr>
        <w:t>GmbH</w:t>
      </w:r>
      <w:proofErr w:type="spellEnd"/>
      <w:r w:rsidRPr="00384201">
        <w:rPr>
          <w:rFonts w:ascii="Verdana" w:hAnsi="Verdana"/>
          <w:sz w:val="18"/>
          <w:szCs w:val="18"/>
        </w:rPr>
        <w:t xml:space="preserve">, sídlem </w:t>
      </w:r>
      <w:proofErr w:type="spellStart"/>
      <w:r w:rsidRPr="00384201">
        <w:rPr>
          <w:rFonts w:ascii="Verdana" w:hAnsi="Verdana"/>
          <w:sz w:val="18"/>
          <w:szCs w:val="18"/>
        </w:rPr>
        <w:t>Guglgasse</w:t>
      </w:r>
      <w:proofErr w:type="spellEnd"/>
      <w:r w:rsidRPr="00384201">
        <w:rPr>
          <w:rFonts w:ascii="Verdana" w:hAnsi="Verdana"/>
          <w:sz w:val="18"/>
          <w:szCs w:val="18"/>
        </w:rPr>
        <w:t xml:space="preserve"> 17-19, A-1110 </w:t>
      </w:r>
      <w:proofErr w:type="spellStart"/>
      <w:r w:rsidRPr="00384201">
        <w:rPr>
          <w:rFonts w:ascii="Verdana" w:hAnsi="Verdana"/>
          <w:sz w:val="18"/>
          <w:szCs w:val="18"/>
        </w:rPr>
        <w:t>Wien</w:t>
      </w:r>
      <w:proofErr w:type="spellEnd"/>
      <w:r w:rsidRPr="00384201">
        <w:rPr>
          <w:rFonts w:ascii="Verdana" w:hAnsi="Verdana"/>
          <w:sz w:val="18"/>
          <w:szCs w:val="18"/>
        </w:rPr>
        <w:t xml:space="preserve">, </w:t>
      </w:r>
      <w:proofErr w:type="spellStart"/>
      <w:r w:rsidRPr="00384201">
        <w:rPr>
          <w:rFonts w:ascii="Verdana" w:hAnsi="Verdana"/>
          <w:sz w:val="18"/>
          <w:szCs w:val="18"/>
        </w:rPr>
        <w:t>Österreich</w:t>
      </w:r>
      <w:proofErr w:type="spellEnd"/>
      <w:r w:rsidRPr="00384201">
        <w:rPr>
          <w:rFonts w:ascii="Verdana" w:hAnsi="Verdana"/>
          <w:sz w:val="18"/>
          <w:szCs w:val="18"/>
        </w:rPr>
        <w:t>, IČO: FN 194922a;</w:t>
      </w:r>
    </w:p>
    <w:p w:rsidR="00EB6B45" w:rsidRPr="00384201" w:rsidRDefault="00EB6B45" w:rsidP="00EB6B45">
      <w:pPr>
        <w:pStyle w:val="Odstavecseseznamem"/>
        <w:numPr>
          <w:ilvl w:val="0"/>
          <w:numId w:val="35"/>
        </w:numPr>
        <w:spacing w:line="276" w:lineRule="auto"/>
        <w:rPr>
          <w:rFonts w:ascii="Verdana" w:hAnsi="Verdana"/>
          <w:sz w:val="18"/>
          <w:szCs w:val="18"/>
        </w:rPr>
      </w:pPr>
      <w:r w:rsidRPr="00384201">
        <w:rPr>
          <w:rFonts w:ascii="Verdana" w:hAnsi="Verdana"/>
          <w:sz w:val="18"/>
          <w:szCs w:val="18"/>
        </w:rPr>
        <w:t>IBM Česká republika, spol. s r.o., sídlem V Parku 2294/4, 148 00 Praha 4 - Chodov, IČO: 148 90 992.</w:t>
      </w:r>
    </w:p>
    <w:p w:rsidR="00EB6B45" w:rsidRPr="00384201" w:rsidRDefault="00EB6B45" w:rsidP="00EB6B45">
      <w:pPr>
        <w:spacing w:line="276" w:lineRule="auto"/>
        <w:rPr>
          <w:rFonts w:ascii="Verdana" w:hAnsi="Verdana"/>
          <w:sz w:val="18"/>
          <w:szCs w:val="18"/>
        </w:rPr>
      </w:pP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384201">
        <w:rPr>
          <w:rFonts w:ascii="Verdana" w:hAnsi="Verdana"/>
          <w:bCs/>
          <w:sz w:val="18"/>
          <w:szCs w:val="18"/>
        </w:rPr>
        <w:t>Cílem Konzultace bylo ověření aktuálního stavu existujících fungujících technických řešení na trhu, identifikace možných alternativních způsobů splnění potřeb Zadavatele a rozšíření informovanosti Zadavatele o předmětu Veřejné zakázky a o aktuálních možnostech trhu či případných specifických podmínkách plnění z pohledu dodavatelů.</w:t>
      </w: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384201">
        <w:rPr>
          <w:rFonts w:ascii="Verdana" w:hAnsi="Verdana"/>
          <w:bCs/>
          <w:sz w:val="18"/>
          <w:szCs w:val="18"/>
        </w:rPr>
        <w:t xml:space="preserve">Konzultace byla vedena s jednotlivými účastníky odděleně a byla rozdělena na dvě fáze. Prostřednictvím pozvánky k účasti na první fázi Konzultace byli oslovení účastníci vyzváni k přípravě prezentace, ve které představí své již existující technické řešení a písemně zodpoví otázky zadavatele, jejichž seznam tvořil přílohu pozvánky. </w:t>
      </w: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384201">
        <w:rPr>
          <w:rFonts w:ascii="Verdana" w:hAnsi="Verdana"/>
          <w:b/>
          <w:sz w:val="18"/>
          <w:szCs w:val="18"/>
        </w:rPr>
        <w:t>V první fázi Konzultace</w:t>
      </w:r>
      <w:r w:rsidRPr="00384201">
        <w:rPr>
          <w:rFonts w:ascii="Verdana" w:hAnsi="Verdana"/>
          <w:bCs/>
          <w:sz w:val="18"/>
          <w:szCs w:val="18"/>
        </w:rPr>
        <w:t>, která proběhla v sídle Zadavatele, účastníci nejdříve stručně představili svou společnost a blíže popsali zaměření své společnosti. Následně účastníci formou připravené prezentace představili svá existující technická řešení odpovídající požadavkům Zadavatele a vyjádřili se k dotazům zadavatele mířícím na bližší popis zkušeností účastníků s významnými službami s realizací obdobných systémů v oblasti železniční dopravní cesty a liniové infrastruktury. Dotazy Zadavatele směřovaly zejména na bližší popis technických parametrů již zavedených systémů účastníků a na způsob, jakým by účastníci přistoupili k přípravě řešení odpovídajícímu předmětu Veřejné zakázky a požadavkům Zadavatele.</w:t>
      </w: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384201">
        <w:rPr>
          <w:rFonts w:ascii="Verdana" w:hAnsi="Verdana"/>
          <w:bCs/>
          <w:sz w:val="18"/>
          <w:szCs w:val="18"/>
        </w:rPr>
        <w:t>V druhé části první fáze probíhala diskuze Zadavatele s jednotlivými účastníky, v jejímž rámci došlo k prohloubení skutečností představených v prezentacích účastníků. Účastníci současně upozornili Zadavatele na potenciálně problematické aspekty stanovení předmětu Veřejné zakázky, jejichž přesnému vymezení by Zadavatel měl při přípravě zadávacích podmínek věnovat zvýšenou pozornost.</w:t>
      </w: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384201">
        <w:rPr>
          <w:rFonts w:ascii="Verdana" w:hAnsi="Verdana"/>
          <w:b/>
          <w:bCs/>
          <w:sz w:val="18"/>
          <w:szCs w:val="18"/>
        </w:rPr>
        <w:t>Druhá fáze Konzultace</w:t>
      </w:r>
      <w:r w:rsidRPr="00384201">
        <w:rPr>
          <w:rFonts w:ascii="Verdana" w:hAnsi="Verdana"/>
          <w:sz w:val="18"/>
          <w:szCs w:val="18"/>
        </w:rPr>
        <w:t>, která následovala po vyhodnocení informací získaných v první fázi Konzultace, spočívala v referenčních návštěvách Zadavatele na již zavedených provozech účastníků, kde účastníci Zadavateli představili ukázku funkčního řešení provozu u konečného zákazníka.</w:t>
      </w: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EB6B45" w:rsidRPr="00384201" w:rsidRDefault="00EB6B45" w:rsidP="00EB6B45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384201">
        <w:rPr>
          <w:rFonts w:ascii="Verdana" w:hAnsi="Verdana"/>
          <w:sz w:val="18"/>
          <w:szCs w:val="18"/>
        </w:rPr>
        <w:t>Zadavatel pečlivě prostudovat a posoudil podněty a návrhy jednotlivých registrovaných účastníků k záměru Zadavatele a vzal je v potaz, stejně jako informace sdělené v průběhu první a druhé fáze Konzultace, pročež přehodnotil záměr v zadávacím řízení poptávat návrh nového systému pro expertní plánování a hospodaření správce železniční infrastruktury, jelikož díky informacím získaným v rámci Konzultace dospěl ke zjištění, že na trhu již existují vyhovující dostupná softwarová řešení. Informace, které jsou výsledkem Konzultace, zadavatel v souladu s § 36 odst. 4 označil v zadávací dokumentaci Veřejné zakázky.</w:t>
      </w:r>
    </w:p>
    <w:p w:rsidR="009F392E" w:rsidRPr="00EB6B45" w:rsidRDefault="009F392E" w:rsidP="00EB6B45"/>
    <w:sectPr w:rsidR="009F392E" w:rsidRPr="00EB6B4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B45" w:rsidRDefault="00EB6B45" w:rsidP="00962258">
      <w:r>
        <w:separator/>
      </w:r>
    </w:p>
  </w:endnote>
  <w:endnote w:type="continuationSeparator" w:id="0">
    <w:p w:rsidR="00EB6B45" w:rsidRDefault="00EB6B45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6B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6B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903D5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5F14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6B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6B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C13D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7CF37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B45" w:rsidRDefault="00EB6B45" w:rsidP="00962258">
      <w:r>
        <w:separator/>
      </w:r>
    </w:p>
  </w:footnote>
  <w:footnote w:type="continuationSeparator" w:id="0">
    <w:p w:rsidR="00EB6B45" w:rsidRDefault="00EB6B45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B45AA"/>
    <w:multiLevelType w:val="hybridMultilevel"/>
    <w:tmpl w:val="2B4E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B4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B4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5246A477-416F-4B66-B88B-4F2BF2A10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EB6B45"/>
    <w:pPr>
      <w:tabs>
        <w:tab w:val="num" w:pos="360"/>
      </w:tabs>
      <w:spacing w:before="240" w:after="120"/>
      <w:jc w:val="center"/>
      <w:outlineLvl w:val="0"/>
    </w:pPr>
    <w:rPr>
      <w:b/>
      <w:bCs/>
      <w:caps/>
      <w:kern w:val="32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16C717-BC4A-47F9-8A4B-628FFB0A7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2</Pages>
  <Words>637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2021-03-26T10:23:00Z</dcterms:created>
  <dcterms:modified xsi:type="dcterms:W3CDTF">2021-03-26T10:24:00Z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